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AD797" w14:textId="77777777" w:rsidR="000A638D" w:rsidRDefault="007F3471" w:rsidP="000A638D">
      <w:pPr>
        <w:pStyle w:val="Sinespaciado"/>
        <w:ind w:left="2832"/>
        <w:rPr>
          <w:rFonts w:asciiTheme="minorHAnsi" w:hAnsiTheme="minorHAnsi" w:cstheme="minorHAnsi"/>
          <w:b/>
          <w:szCs w:val="24"/>
        </w:rPr>
      </w:pPr>
      <w:r w:rsidRPr="000A638D">
        <w:rPr>
          <w:rFonts w:asciiTheme="minorHAnsi" w:hAnsiTheme="minorHAnsi" w:cstheme="minorHAnsi"/>
          <w:b/>
          <w:szCs w:val="24"/>
        </w:rPr>
        <w:t xml:space="preserve">SR. PRESIDENTE DE LA JUNTA ELECTORAL DE </w:t>
      </w:r>
      <w:r w:rsidR="000A638D" w:rsidRPr="000A638D">
        <w:rPr>
          <w:rFonts w:asciiTheme="minorHAnsi" w:hAnsiTheme="minorHAnsi" w:cstheme="minorHAnsi"/>
          <w:b/>
          <w:szCs w:val="24"/>
        </w:rPr>
        <w:t xml:space="preserve">ZONA </w:t>
      </w:r>
    </w:p>
    <w:p w14:paraId="135ACB14" w14:textId="29E7A28C" w:rsidR="007F3471" w:rsidRPr="000A638D" w:rsidRDefault="000A638D" w:rsidP="000A638D">
      <w:pPr>
        <w:pStyle w:val="Sinespaciado"/>
        <w:ind w:left="2124" w:firstLine="708"/>
        <w:rPr>
          <w:rFonts w:asciiTheme="minorHAnsi" w:hAnsiTheme="minorHAnsi" w:cstheme="minorHAnsi"/>
          <w:b/>
          <w:szCs w:val="24"/>
        </w:rPr>
      </w:pPr>
      <w:r w:rsidRPr="000A638D">
        <w:rPr>
          <w:rFonts w:asciiTheme="minorHAnsi" w:hAnsiTheme="minorHAnsi" w:cstheme="minorHAnsi"/>
          <w:b/>
          <w:szCs w:val="24"/>
        </w:rPr>
        <w:t xml:space="preserve">DE </w:t>
      </w:r>
      <w:r w:rsidR="00215221">
        <w:rPr>
          <w:rFonts w:asciiTheme="minorHAnsi" w:hAnsiTheme="minorHAnsi" w:cstheme="minorHAnsi"/>
          <w:b/>
          <w:szCs w:val="24"/>
        </w:rPr>
        <w:t>……</w:t>
      </w:r>
      <w:r w:rsidR="00215221">
        <w:rPr>
          <w:rStyle w:val="Refdenotaalpie"/>
          <w:rFonts w:asciiTheme="minorHAnsi" w:hAnsiTheme="minorHAnsi" w:cstheme="minorHAnsi"/>
          <w:b/>
          <w:szCs w:val="24"/>
        </w:rPr>
        <w:footnoteReference w:id="1"/>
      </w:r>
    </w:p>
    <w:p w14:paraId="6FBF00B3" w14:textId="77777777" w:rsidR="000A638D" w:rsidRDefault="000A638D" w:rsidP="00EF3484">
      <w:pPr>
        <w:autoSpaceDE w:val="0"/>
        <w:autoSpaceDN w:val="0"/>
        <w:adjustRightInd w:val="0"/>
        <w:spacing w:after="360"/>
        <w:rPr>
          <w:rFonts w:asciiTheme="minorHAnsi" w:hAnsiTheme="minorHAnsi" w:cstheme="minorHAnsi"/>
          <w:szCs w:val="24"/>
        </w:rPr>
      </w:pPr>
    </w:p>
    <w:p w14:paraId="1D2D6FCC" w14:textId="0B370793" w:rsidR="007F3471" w:rsidRPr="00325598" w:rsidRDefault="00886AFA" w:rsidP="00325598">
      <w:pPr>
        <w:autoSpaceDE w:val="0"/>
        <w:autoSpaceDN w:val="0"/>
        <w:adjustRightInd w:val="0"/>
        <w:spacing w:after="360"/>
        <w:ind w:firstLine="708"/>
      </w:pPr>
      <w:r w:rsidRPr="00EF3484">
        <w:rPr>
          <w:rFonts w:asciiTheme="minorHAnsi" w:hAnsiTheme="minorHAnsi" w:cstheme="minorHAnsi"/>
          <w:szCs w:val="24"/>
        </w:rPr>
        <w:t>D</w:t>
      </w:r>
      <w:r w:rsidR="00215221">
        <w:rPr>
          <w:rFonts w:asciiTheme="minorHAnsi" w:hAnsiTheme="minorHAnsi" w:cstheme="minorHAnsi"/>
          <w:szCs w:val="24"/>
        </w:rPr>
        <w:t>/Dª</w:t>
      </w:r>
      <w:r w:rsidRPr="00EF3484">
        <w:rPr>
          <w:rFonts w:asciiTheme="minorHAnsi" w:hAnsiTheme="minorHAnsi" w:cstheme="minorHAnsi"/>
          <w:szCs w:val="24"/>
        </w:rPr>
        <w:t xml:space="preserve"> </w:t>
      </w:r>
      <w:r w:rsidR="00215221">
        <w:rPr>
          <w:rFonts w:asciiTheme="minorHAnsi" w:hAnsiTheme="minorHAnsi" w:cstheme="minorHAnsi"/>
          <w:szCs w:val="24"/>
        </w:rPr>
        <w:t>………………………………………………………</w:t>
      </w:r>
      <w:r w:rsidR="00325598">
        <w:rPr>
          <w:rFonts w:asciiTheme="minorHAnsi" w:hAnsiTheme="minorHAnsi" w:cstheme="minorHAnsi"/>
          <w:szCs w:val="24"/>
        </w:rPr>
        <w:t>…………………..</w:t>
      </w:r>
      <w:r w:rsidR="00215221">
        <w:rPr>
          <w:rFonts w:asciiTheme="minorHAnsi" w:hAnsiTheme="minorHAnsi" w:cstheme="minorHAnsi"/>
          <w:szCs w:val="24"/>
        </w:rPr>
        <w:t>…………………</w:t>
      </w:r>
      <w:r w:rsidRPr="00EF3484">
        <w:rPr>
          <w:rFonts w:asciiTheme="minorHAnsi" w:hAnsiTheme="minorHAnsi" w:cstheme="minorHAnsi"/>
          <w:szCs w:val="24"/>
        </w:rPr>
        <w:t xml:space="preserve">, </w:t>
      </w:r>
      <w:r w:rsidR="007F3471" w:rsidRPr="00EF3484">
        <w:rPr>
          <w:rFonts w:asciiTheme="minorHAnsi" w:hAnsiTheme="minorHAnsi" w:cstheme="minorHAnsi"/>
          <w:szCs w:val="24"/>
        </w:rPr>
        <w:t>con DNI núm.</w:t>
      </w:r>
      <w:r w:rsidR="00325598">
        <w:rPr>
          <w:rFonts w:asciiTheme="minorHAnsi" w:hAnsiTheme="minorHAnsi" w:cstheme="minorHAnsi"/>
          <w:szCs w:val="24"/>
        </w:rPr>
        <w:t xml:space="preserve"> </w:t>
      </w:r>
      <w:r w:rsidR="00215221">
        <w:rPr>
          <w:rFonts w:asciiTheme="minorHAnsi" w:hAnsiTheme="minorHAnsi" w:cstheme="minorHAnsi"/>
          <w:szCs w:val="24"/>
        </w:rPr>
        <w:t>…</w:t>
      </w:r>
      <w:r w:rsidR="00325598">
        <w:rPr>
          <w:rFonts w:asciiTheme="minorHAnsi" w:hAnsiTheme="minorHAnsi" w:cstheme="minorHAnsi"/>
          <w:szCs w:val="24"/>
        </w:rPr>
        <w:t>…….</w:t>
      </w:r>
      <w:r w:rsidR="00215221">
        <w:rPr>
          <w:rFonts w:asciiTheme="minorHAnsi" w:hAnsiTheme="minorHAnsi" w:cstheme="minorHAnsi"/>
          <w:szCs w:val="24"/>
        </w:rPr>
        <w:t>………………………………</w:t>
      </w:r>
      <w:r w:rsidR="00EF3484" w:rsidRPr="00EF3484">
        <w:rPr>
          <w:rFonts w:asciiTheme="minorHAnsi" w:hAnsiTheme="minorHAnsi" w:cstheme="minorHAnsi"/>
          <w:szCs w:val="24"/>
        </w:rPr>
        <w:t xml:space="preserve">, </w:t>
      </w:r>
      <w:r w:rsidRPr="00EF3484">
        <w:rPr>
          <w:rFonts w:asciiTheme="minorHAnsi" w:hAnsiTheme="minorHAnsi" w:cstheme="minorHAnsi"/>
          <w:szCs w:val="24"/>
        </w:rPr>
        <w:t xml:space="preserve">con domicilio a efectos de notificación </w:t>
      </w:r>
      <w:r w:rsidR="00EF3484" w:rsidRPr="00EF3484">
        <w:rPr>
          <w:rFonts w:asciiTheme="minorHAnsi" w:hAnsiTheme="minorHAnsi" w:cstheme="minorHAnsi"/>
          <w:szCs w:val="24"/>
        </w:rPr>
        <w:t>e</w:t>
      </w:r>
      <w:r w:rsidR="00325598">
        <w:rPr>
          <w:rFonts w:asciiTheme="minorHAnsi" w:hAnsiTheme="minorHAnsi" w:cstheme="minorHAnsi"/>
          <w:szCs w:val="24"/>
        </w:rPr>
        <w:t>n</w:t>
      </w:r>
      <w:r w:rsidR="000A638D">
        <w:rPr>
          <w:rFonts w:asciiTheme="minorHAnsi" w:hAnsiTheme="minorHAnsi" w:cstheme="minorHAnsi"/>
          <w:szCs w:val="24"/>
        </w:rPr>
        <w:t xml:space="preserve"> </w:t>
      </w:r>
      <w:r w:rsidR="00215221">
        <w:rPr>
          <w:rFonts w:asciiTheme="minorHAnsi" w:hAnsiTheme="minorHAnsi" w:cstheme="minorHAnsi"/>
          <w:szCs w:val="24"/>
        </w:rPr>
        <w:t>…………………………………………………………………………………………</w:t>
      </w:r>
      <w:r w:rsidR="00325598">
        <w:rPr>
          <w:rFonts w:asciiTheme="minorHAnsi" w:hAnsiTheme="minorHAnsi" w:cstheme="minorHAnsi"/>
          <w:szCs w:val="24"/>
        </w:rPr>
        <w:t>……………………………………………</w:t>
      </w:r>
      <w:r w:rsidR="000A638D">
        <w:rPr>
          <w:rFonts w:asciiTheme="minorHAnsi" w:hAnsiTheme="minorHAnsi" w:cstheme="minorHAnsi"/>
          <w:szCs w:val="24"/>
        </w:rPr>
        <w:t xml:space="preserve">y con domicilio electrónico en </w:t>
      </w:r>
      <w:r w:rsidR="00325598">
        <w:t xml:space="preserve">……………..@.............................................                            </w:t>
      </w:r>
      <w:r w:rsidR="000A638D">
        <w:rPr>
          <w:rFonts w:asciiTheme="minorHAnsi" w:hAnsiTheme="minorHAnsi" w:cstheme="minorHAnsi"/>
          <w:szCs w:val="24"/>
        </w:rPr>
        <w:t>,</w:t>
      </w:r>
      <w:r w:rsidRPr="00EF3484">
        <w:rPr>
          <w:rFonts w:asciiTheme="minorHAnsi" w:hAnsiTheme="minorHAnsi" w:cstheme="minorHAnsi"/>
          <w:szCs w:val="24"/>
        </w:rPr>
        <w:t xml:space="preserve"> comparece y como mejor proceda en Derecho, </w:t>
      </w:r>
      <w:r w:rsidR="007F3471" w:rsidRPr="00EF3484">
        <w:rPr>
          <w:rFonts w:asciiTheme="minorHAnsi" w:hAnsiTheme="minorHAnsi" w:cstheme="minorHAnsi"/>
          <w:b/>
          <w:bCs/>
          <w:szCs w:val="24"/>
        </w:rPr>
        <w:t>EXPONE</w:t>
      </w:r>
      <w:r w:rsidR="007F3471" w:rsidRPr="00EF3484">
        <w:rPr>
          <w:rFonts w:asciiTheme="minorHAnsi" w:hAnsiTheme="minorHAnsi" w:cstheme="minorHAnsi"/>
          <w:szCs w:val="24"/>
        </w:rPr>
        <w:t>:</w:t>
      </w:r>
    </w:p>
    <w:p w14:paraId="2EDC42AF" w14:textId="509B3044" w:rsidR="00EF451A" w:rsidRPr="00CD397A" w:rsidRDefault="007F3471" w:rsidP="000A638D">
      <w:pPr>
        <w:autoSpaceDE w:val="0"/>
        <w:autoSpaceDN w:val="0"/>
        <w:adjustRightInd w:val="0"/>
        <w:spacing w:after="360"/>
        <w:rPr>
          <w:rFonts w:asciiTheme="minorHAnsi" w:hAnsiTheme="minorHAnsi" w:cstheme="minorHAnsi"/>
          <w:szCs w:val="24"/>
        </w:rPr>
      </w:pPr>
      <w:r w:rsidRPr="00EF3484">
        <w:rPr>
          <w:rFonts w:asciiTheme="minorHAnsi" w:hAnsiTheme="minorHAnsi" w:cstheme="minorHAnsi"/>
          <w:b/>
          <w:bCs/>
          <w:szCs w:val="24"/>
        </w:rPr>
        <w:t xml:space="preserve">PRIMERO. </w:t>
      </w:r>
      <w:r w:rsidR="00EF3484" w:rsidRPr="00EF3484">
        <w:rPr>
          <w:rFonts w:asciiTheme="minorHAnsi" w:hAnsiTheme="minorHAnsi" w:cstheme="minorHAnsi"/>
          <w:b/>
          <w:bCs/>
          <w:szCs w:val="24"/>
        </w:rPr>
        <w:t>–</w:t>
      </w:r>
      <w:r w:rsidRPr="00EF3484">
        <w:rPr>
          <w:rFonts w:asciiTheme="minorHAnsi" w:hAnsiTheme="minorHAnsi" w:cstheme="minorHAnsi"/>
          <w:b/>
          <w:bCs/>
          <w:szCs w:val="24"/>
        </w:rPr>
        <w:t xml:space="preserve"> </w:t>
      </w:r>
      <w:r w:rsidR="000A638D" w:rsidRPr="00CD397A">
        <w:rPr>
          <w:rFonts w:asciiTheme="minorHAnsi" w:hAnsiTheme="minorHAnsi" w:cstheme="minorHAnsi"/>
          <w:szCs w:val="24"/>
        </w:rPr>
        <w:t xml:space="preserve">Que ha constatado </w:t>
      </w:r>
      <w:r w:rsidR="00EF451A" w:rsidRPr="00CD397A">
        <w:rPr>
          <w:rFonts w:asciiTheme="minorHAnsi" w:hAnsiTheme="minorHAnsi" w:cstheme="minorHAnsi"/>
          <w:szCs w:val="24"/>
        </w:rPr>
        <w:t>que en ………</w:t>
      </w:r>
      <w:r w:rsidR="00CD397A">
        <w:rPr>
          <w:rFonts w:asciiTheme="minorHAnsi" w:hAnsiTheme="minorHAnsi" w:cstheme="minorHAnsi"/>
          <w:szCs w:val="24"/>
        </w:rPr>
        <w:t>…………………………</w:t>
      </w:r>
      <w:proofErr w:type="gramStart"/>
      <w:r w:rsidR="00EF451A" w:rsidRPr="00CD397A">
        <w:rPr>
          <w:rFonts w:asciiTheme="minorHAnsi" w:hAnsiTheme="minorHAnsi" w:cstheme="minorHAnsi"/>
          <w:szCs w:val="24"/>
        </w:rPr>
        <w:t>…</w:t>
      </w:r>
      <w:r w:rsidR="00EF451A" w:rsidRPr="00CD397A">
        <w:rPr>
          <w:rFonts w:asciiTheme="minorHAnsi" w:hAnsiTheme="minorHAnsi" w:cstheme="minorHAnsi"/>
          <w:i/>
          <w:iCs/>
          <w:szCs w:val="24"/>
        </w:rPr>
        <w:t>(</w:t>
      </w:r>
      <w:proofErr w:type="gramEnd"/>
      <w:r w:rsidR="00EF451A" w:rsidRPr="00CD397A">
        <w:rPr>
          <w:rFonts w:asciiTheme="minorHAnsi" w:hAnsiTheme="minorHAnsi" w:cstheme="minorHAnsi"/>
          <w:i/>
          <w:iCs/>
          <w:szCs w:val="24"/>
        </w:rPr>
        <w:t xml:space="preserve">describir la ubicación) </w:t>
      </w:r>
      <w:r w:rsidR="00EF451A" w:rsidRPr="00CD397A">
        <w:rPr>
          <w:rFonts w:asciiTheme="minorHAnsi" w:hAnsiTheme="minorHAnsi" w:cstheme="minorHAnsi"/>
          <w:szCs w:val="24"/>
        </w:rPr>
        <w:t xml:space="preserve"> </w:t>
      </w:r>
      <w:r w:rsidR="00EF451A" w:rsidRPr="00CD397A">
        <w:rPr>
          <w:rStyle w:val="Refdenotaalpie"/>
          <w:rFonts w:asciiTheme="minorHAnsi" w:hAnsiTheme="minorHAnsi" w:cstheme="minorHAnsi"/>
          <w:szCs w:val="24"/>
        </w:rPr>
        <w:footnoteReference w:id="2"/>
      </w:r>
      <w:r w:rsidR="00CD397A">
        <w:rPr>
          <w:rFonts w:asciiTheme="minorHAnsi" w:hAnsiTheme="minorHAnsi" w:cstheme="minorHAnsi"/>
          <w:szCs w:val="24"/>
        </w:rPr>
        <w:t xml:space="preserve"> </w:t>
      </w:r>
      <w:r w:rsidR="00EF451A" w:rsidRPr="00CD397A">
        <w:rPr>
          <w:rFonts w:asciiTheme="minorHAnsi" w:hAnsiTheme="minorHAnsi" w:cstheme="minorHAnsi"/>
          <w:szCs w:val="24"/>
        </w:rPr>
        <w:t xml:space="preserve">se han colocado los siguientes </w:t>
      </w:r>
      <w:r w:rsidR="00215221" w:rsidRPr="00CD397A">
        <w:rPr>
          <w:rFonts w:asciiTheme="minorHAnsi" w:hAnsiTheme="minorHAnsi" w:cstheme="minorHAnsi"/>
          <w:szCs w:val="24"/>
        </w:rPr>
        <w:t>símbolos</w:t>
      </w:r>
      <w:r w:rsidR="00EF451A" w:rsidRPr="00CD397A">
        <w:rPr>
          <w:rFonts w:asciiTheme="minorHAnsi" w:hAnsiTheme="minorHAnsi" w:cstheme="minorHAnsi"/>
          <w:szCs w:val="24"/>
        </w:rPr>
        <w:t xml:space="preserve"> o elementos </w:t>
      </w:r>
      <w:r w:rsidR="00215221" w:rsidRPr="00CD397A">
        <w:rPr>
          <w:rFonts w:asciiTheme="minorHAnsi" w:hAnsiTheme="minorHAnsi" w:cstheme="minorHAnsi"/>
          <w:szCs w:val="24"/>
        </w:rPr>
        <w:t>que alteran la neutralidad institucional</w:t>
      </w:r>
      <w:r w:rsidR="00CD397A" w:rsidRPr="00CD397A">
        <w:rPr>
          <w:rStyle w:val="Refdenotaalpie"/>
          <w:rFonts w:asciiTheme="minorHAnsi" w:hAnsiTheme="minorHAnsi" w:cstheme="minorHAnsi"/>
          <w:szCs w:val="24"/>
        </w:rPr>
        <w:footnoteReference w:id="3"/>
      </w:r>
      <w:r w:rsidR="00EF451A" w:rsidRPr="00CD397A">
        <w:rPr>
          <w:rFonts w:asciiTheme="minorHAnsi" w:hAnsiTheme="minorHAnsi" w:cstheme="minorHAnsi"/>
          <w:i/>
          <w:iCs/>
          <w:szCs w:val="24"/>
        </w:rPr>
        <w:t>(Describirlos….)</w:t>
      </w:r>
      <w:r w:rsidR="00325598">
        <w:rPr>
          <w:rFonts w:asciiTheme="minorHAnsi" w:hAnsiTheme="minorHAnsi" w:cstheme="minorHAnsi"/>
          <w:i/>
          <w:iCs/>
          <w:szCs w:val="24"/>
        </w:rPr>
        <w:t>:</w:t>
      </w:r>
      <w:r w:rsidR="00EF451A" w:rsidRPr="00CD397A">
        <w:rPr>
          <w:rFonts w:asciiTheme="minorHAnsi" w:hAnsiTheme="minorHAnsi" w:cstheme="minorHAnsi"/>
          <w:szCs w:val="24"/>
        </w:rPr>
        <w:t xml:space="preserve"> </w:t>
      </w:r>
    </w:p>
    <w:p w14:paraId="3AC6BF1D" w14:textId="6D64A429" w:rsidR="007F3471" w:rsidRDefault="000A638D" w:rsidP="00886AFA">
      <w:pPr>
        <w:autoSpaceDE w:val="0"/>
        <w:autoSpaceDN w:val="0"/>
        <w:adjustRightInd w:val="0"/>
        <w:spacing w:after="360"/>
        <w:rPr>
          <w:rFonts w:asciiTheme="minorHAnsi" w:hAnsiTheme="minorHAnsi" w:cstheme="minorHAnsi"/>
          <w:szCs w:val="24"/>
        </w:rPr>
      </w:pPr>
      <w:r>
        <w:rPr>
          <w:rFonts w:asciiTheme="minorHAnsi" w:hAnsiTheme="minorHAnsi" w:cstheme="minorHAnsi"/>
          <w:b/>
          <w:bCs/>
          <w:szCs w:val="24"/>
        </w:rPr>
        <w:t>C</w:t>
      </w:r>
      <w:r w:rsidR="007F3471" w:rsidRPr="00EF3484">
        <w:rPr>
          <w:rFonts w:asciiTheme="minorHAnsi" w:hAnsiTheme="minorHAnsi" w:cstheme="minorHAnsi"/>
          <w:szCs w:val="24"/>
        </w:rPr>
        <w:t xml:space="preserve">omo prueba de lo manifestado, </w:t>
      </w:r>
      <w:r>
        <w:rPr>
          <w:rFonts w:asciiTheme="minorHAnsi" w:hAnsiTheme="minorHAnsi" w:cstheme="minorHAnsi"/>
          <w:szCs w:val="24"/>
        </w:rPr>
        <w:t xml:space="preserve">se </w:t>
      </w:r>
      <w:r w:rsidR="007F3471" w:rsidRPr="00EF3484">
        <w:rPr>
          <w:rFonts w:asciiTheme="minorHAnsi" w:hAnsiTheme="minorHAnsi" w:cstheme="minorHAnsi"/>
          <w:szCs w:val="24"/>
        </w:rPr>
        <w:t xml:space="preserve">adjunta imagen </w:t>
      </w:r>
      <w:r w:rsidR="00886AFA" w:rsidRPr="00EF3484">
        <w:rPr>
          <w:rFonts w:asciiTheme="minorHAnsi" w:hAnsiTheme="minorHAnsi" w:cstheme="minorHAnsi"/>
          <w:szCs w:val="24"/>
        </w:rPr>
        <w:t>de</w:t>
      </w:r>
      <w:r>
        <w:rPr>
          <w:rFonts w:asciiTheme="minorHAnsi" w:hAnsiTheme="minorHAnsi" w:cstheme="minorHAnsi"/>
          <w:szCs w:val="24"/>
        </w:rPr>
        <w:t xml:space="preserve"> esos símbolos</w:t>
      </w:r>
      <w:r w:rsidR="00CD397A">
        <w:rPr>
          <w:rFonts w:asciiTheme="minorHAnsi" w:hAnsiTheme="minorHAnsi" w:cstheme="minorHAnsi"/>
          <w:szCs w:val="24"/>
        </w:rPr>
        <w:t xml:space="preserve"> o elementos</w:t>
      </w:r>
      <w:r>
        <w:rPr>
          <w:rFonts w:asciiTheme="minorHAnsi" w:hAnsiTheme="minorHAnsi" w:cstheme="minorHAnsi"/>
          <w:szCs w:val="24"/>
        </w:rPr>
        <w:t xml:space="preserve"> en </w:t>
      </w:r>
      <w:r w:rsidR="00325598">
        <w:rPr>
          <w:rFonts w:asciiTheme="minorHAnsi" w:hAnsiTheme="minorHAnsi" w:cstheme="minorHAnsi"/>
          <w:szCs w:val="24"/>
        </w:rPr>
        <w:t>el lugar en que están ubicados</w:t>
      </w:r>
      <w:r w:rsidR="00CD397A">
        <w:rPr>
          <w:rStyle w:val="Refdenotaalpie"/>
          <w:rFonts w:asciiTheme="minorHAnsi" w:hAnsiTheme="minorHAnsi" w:cstheme="minorHAnsi"/>
          <w:szCs w:val="24"/>
        </w:rPr>
        <w:footnoteReference w:id="4"/>
      </w:r>
      <w:r>
        <w:rPr>
          <w:rFonts w:asciiTheme="minorHAnsi" w:hAnsiTheme="minorHAnsi" w:cstheme="minorHAnsi"/>
          <w:szCs w:val="24"/>
        </w:rPr>
        <w:t xml:space="preserve">. </w:t>
      </w:r>
      <w:r w:rsidR="00886AFA" w:rsidRPr="00EF3484">
        <w:rPr>
          <w:rFonts w:asciiTheme="minorHAnsi" w:hAnsiTheme="minorHAnsi" w:cstheme="minorHAnsi"/>
          <w:szCs w:val="24"/>
        </w:rPr>
        <w:t xml:space="preserve"> </w:t>
      </w:r>
    </w:p>
    <w:p w14:paraId="759E9D17" w14:textId="0896856A" w:rsidR="007F3471" w:rsidRPr="00EF3484" w:rsidRDefault="005D05B8" w:rsidP="00886AFA">
      <w:pPr>
        <w:autoSpaceDE w:val="0"/>
        <w:autoSpaceDN w:val="0"/>
        <w:adjustRightInd w:val="0"/>
        <w:spacing w:after="360"/>
        <w:rPr>
          <w:rFonts w:asciiTheme="minorHAnsi" w:hAnsiTheme="minorHAnsi" w:cstheme="minorHAnsi"/>
          <w:i/>
          <w:szCs w:val="24"/>
        </w:rPr>
      </w:pPr>
      <w:r>
        <w:rPr>
          <w:rFonts w:asciiTheme="minorHAnsi" w:hAnsiTheme="minorHAnsi" w:cstheme="minorHAnsi"/>
          <w:b/>
          <w:bCs/>
          <w:szCs w:val="24"/>
        </w:rPr>
        <w:t>SEGUNDO</w:t>
      </w:r>
      <w:r w:rsidR="007F3471" w:rsidRPr="00EF3484">
        <w:rPr>
          <w:rFonts w:asciiTheme="minorHAnsi" w:hAnsiTheme="minorHAnsi" w:cstheme="minorHAnsi"/>
          <w:szCs w:val="24"/>
        </w:rPr>
        <w:t>.- Que el artículo 50.2. de la Ley Orgánica 5/1985, de 19 de junio, del Régimen</w:t>
      </w:r>
      <w:r w:rsidR="00316FCA" w:rsidRPr="00EF3484">
        <w:rPr>
          <w:rFonts w:asciiTheme="minorHAnsi" w:hAnsiTheme="minorHAnsi" w:cstheme="minorHAnsi"/>
          <w:szCs w:val="24"/>
        </w:rPr>
        <w:t xml:space="preserve"> </w:t>
      </w:r>
      <w:r w:rsidR="007F3471" w:rsidRPr="00EF3484">
        <w:rPr>
          <w:rFonts w:asciiTheme="minorHAnsi" w:hAnsiTheme="minorHAnsi" w:cstheme="minorHAnsi"/>
          <w:szCs w:val="24"/>
        </w:rPr>
        <w:t xml:space="preserve">Electoral General establece que: </w:t>
      </w:r>
      <w:r w:rsidR="00886AFA" w:rsidRPr="00EF3484">
        <w:rPr>
          <w:rFonts w:asciiTheme="minorHAnsi" w:hAnsiTheme="minorHAnsi" w:cstheme="minorHAnsi"/>
          <w:i/>
          <w:szCs w:val="24"/>
        </w:rPr>
        <w:t>“</w:t>
      </w:r>
      <w:r w:rsidR="007F3471" w:rsidRPr="00EF3484">
        <w:rPr>
          <w:rFonts w:asciiTheme="minorHAnsi" w:hAnsiTheme="minorHAnsi" w:cstheme="minorHAnsi"/>
          <w:i/>
          <w:szCs w:val="24"/>
        </w:rPr>
        <w:t>Desde la convocatoria de las elecciones y hasta la celebración</w:t>
      </w:r>
      <w:r w:rsidR="00316FCA" w:rsidRPr="00EF3484">
        <w:rPr>
          <w:rFonts w:asciiTheme="minorHAnsi" w:hAnsiTheme="minorHAnsi" w:cstheme="minorHAnsi"/>
          <w:i/>
          <w:szCs w:val="24"/>
        </w:rPr>
        <w:t xml:space="preserve"> </w:t>
      </w:r>
      <w:r w:rsidR="007F3471" w:rsidRPr="00EF3484">
        <w:rPr>
          <w:rFonts w:asciiTheme="minorHAnsi" w:hAnsiTheme="minorHAnsi" w:cstheme="minorHAnsi"/>
          <w:i/>
          <w:szCs w:val="24"/>
        </w:rPr>
        <w:t>de las mismas queda prohibido cualquier acto organizado o financiado, directa o</w:t>
      </w:r>
      <w:r w:rsidR="00316FCA" w:rsidRPr="00EF3484">
        <w:rPr>
          <w:rFonts w:asciiTheme="minorHAnsi" w:hAnsiTheme="minorHAnsi" w:cstheme="minorHAnsi"/>
          <w:i/>
          <w:szCs w:val="24"/>
        </w:rPr>
        <w:t xml:space="preserve"> </w:t>
      </w:r>
      <w:r w:rsidR="007F3471" w:rsidRPr="00EF3484">
        <w:rPr>
          <w:rFonts w:asciiTheme="minorHAnsi" w:hAnsiTheme="minorHAnsi" w:cstheme="minorHAnsi"/>
          <w:i/>
          <w:szCs w:val="24"/>
        </w:rPr>
        <w:t>indirectamente, por los poderes públicos que contenga alusiones a las realizaciones o a los</w:t>
      </w:r>
      <w:r w:rsidR="00316FCA" w:rsidRPr="00EF3484">
        <w:rPr>
          <w:rFonts w:asciiTheme="minorHAnsi" w:hAnsiTheme="minorHAnsi" w:cstheme="minorHAnsi"/>
          <w:i/>
          <w:szCs w:val="24"/>
        </w:rPr>
        <w:t xml:space="preserve"> </w:t>
      </w:r>
      <w:r w:rsidR="007F3471" w:rsidRPr="00EF3484">
        <w:rPr>
          <w:rFonts w:asciiTheme="minorHAnsi" w:hAnsiTheme="minorHAnsi" w:cstheme="minorHAnsi"/>
          <w:i/>
          <w:szCs w:val="24"/>
        </w:rPr>
        <w:t xml:space="preserve">logros obtenidos, o que utilice imágenes o expresiones coincidentes </w:t>
      </w:r>
      <w:r w:rsidR="007F3471" w:rsidRPr="00EF3484">
        <w:rPr>
          <w:rFonts w:asciiTheme="minorHAnsi" w:hAnsiTheme="minorHAnsi" w:cstheme="minorHAnsi"/>
          <w:i/>
          <w:szCs w:val="24"/>
        </w:rPr>
        <w:lastRenderedPageBreak/>
        <w:t>o similares a las utilizadas</w:t>
      </w:r>
      <w:r w:rsidR="00316FCA" w:rsidRPr="00EF3484">
        <w:rPr>
          <w:rFonts w:asciiTheme="minorHAnsi" w:hAnsiTheme="minorHAnsi" w:cstheme="minorHAnsi"/>
          <w:i/>
          <w:szCs w:val="24"/>
        </w:rPr>
        <w:t xml:space="preserve"> </w:t>
      </w:r>
      <w:r w:rsidR="007F3471" w:rsidRPr="00EF3484">
        <w:rPr>
          <w:rFonts w:asciiTheme="minorHAnsi" w:hAnsiTheme="minorHAnsi" w:cstheme="minorHAnsi"/>
          <w:i/>
          <w:szCs w:val="24"/>
        </w:rPr>
        <w:t>en sus propias campañas por alguna de las entidades políticas concurrentes a las elecciones.</w:t>
      </w:r>
      <w:r w:rsidR="00886AFA" w:rsidRPr="00EF3484">
        <w:rPr>
          <w:rFonts w:asciiTheme="minorHAnsi" w:hAnsiTheme="minorHAnsi" w:cstheme="minorHAnsi"/>
          <w:i/>
          <w:szCs w:val="24"/>
        </w:rPr>
        <w:t>”</w:t>
      </w:r>
    </w:p>
    <w:p w14:paraId="0909C806" w14:textId="573266D6" w:rsidR="00E06C5D" w:rsidRPr="00EF3484" w:rsidRDefault="005D05B8" w:rsidP="00886AFA">
      <w:pPr>
        <w:autoSpaceDE w:val="0"/>
        <w:autoSpaceDN w:val="0"/>
        <w:adjustRightInd w:val="0"/>
        <w:spacing w:after="360"/>
        <w:rPr>
          <w:rFonts w:asciiTheme="minorHAnsi" w:hAnsiTheme="minorHAnsi" w:cstheme="minorHAnsi"/>
          <w:szCs w:val="24"/>
        </w:rPr>
      </w:pPr>
      <w:r w:rsidRPr="005D05B8">
        <w:rPr>
          <w:rFonts w:asciiTheme="minorHAnsi" w:hAnsiTheme="minorHAnsi" w:cstheme="minorHAnsi"/>
          <w:b/>
          <w:szCs w:val="24"/>
        </w:rPr>
        <w:t>TERCERO</w:t>
      </w:r>
      <w:r w:rsidR="007F3471" w:rsidRPr="005D05B8">
        <w:rPr>
          <w:rFonts w:asciiTheme="minorHAnsi" w:hAnsiTheme="minorHAnsi" w:cstheme="minorHAnsi"/>
          <w:b/>
          <w:szCs w:val="24"/>
        </w:rPr>
        <w:t>.-</w:t>
      </w:r>
      <w:r w:rsidR="007F3471" w:rsidRPr="00EF3484">
        <w:rPr>
          <w:rFonts w:asciiTheme="minorHAnsi" w:hAnsiTheme="minorHAnsi" w:cstheme="minorHAnsi"/>
          <w:szCs w:val="24"/>
        </w:rPr>
        <w:t xml:space="preserve"> Que la Junta Electoral Central viene recordando reiteradamente la obligación de</w:t>
      </w:r>
      <w:r w:rsidR="00316FCA" w:rsidRPr="00EF3484">
        <w:rPr>
          <w:rFonts w:asciiTheme="minorHAnsi" w:hAnsiTheme="minorHAnsi" w:cstheme="minorHAnsi"/>
          <w:szCs w:val="24"/>
        </w:rPr>
        <w:t xml:space="preserve"> </w:t>
      </w:r>
      <w:r w:rsidR="007F3471" w:rsidRPr="00EF3484">
        <w:rPr>
          <w:rFonts w:asciiTheme="minorHAnsi" w:hAnsiTheme="minorHAnsi" w:cstheme="minorHAnsi"/>
          <w:szCs w:val="24"/>
        </w:rPr>
        <w:t>las Administraciones Públicas de ser neutrales durante los procesos electorales</w:t>
      </w:r>
      <w:r w:rsidR="00886AFA" w:rsidRPr="00EF3484">
        <w:rPr>
          <w:rFonts w:asciiTheme="minorHAnsi" w:hAnsiTheme="minorHAnsi" w:cstheme="minorHAnsi"/>
          <w:szCs w:val="24"/>
        </w:rPr>
        <w:t xml:space="preserve"> en lo que hace referencia a la presencia de símbolos independentistas en los edificios y</w:t>
      </w:r>
      <w:r w:rsidR="00E06C5D" w:rsidRPr="00EF3484">
        <w:rPr>
          <w:rFonts w:asciiTheme="minorHAnsi" w:hAnsiTheme="minorHAnsi" w:cstheme="minorHAnsi"/>
          <w:szCs w:val="24"/>
        </w:rPr>
        <w:t xml:space="preserve"> espacios públicos. Es así que en acuerdo 55/2019, de 11 de marzo, ha </w:t>
      </w:r>
      <w:r w:rsidR="00886AFA" w:rsidRPr="00EF3484">
        <w:rPr>
          <w:rFonts w:asciiTheme="minorHAnsi" w:hAnsiTheme="minorHAnsi" w:cstheme="minorHAnsi"/>
          <w:szCs w:val="24"/>
        </w:rPr>
        <w:t>requ</w:t>
      </w:r>
      <w:r w:rsidR="00E06C5D" w:rsidRPr="00EF3484">
        <w:rPr>
          <w:rFonts w:asciiTheme="minorHAnsi" w:hAnsiTheme="minorHAnsi" w:cstheme="minorHAnsi"/>
          <w:szCs w:val="24"/>
        </w:rPr>
        <w:t xml:space="preserve">erido </w:t>
      </w:r>
      <w:r w:rsidR="00886AFA" w:rsidRPr="00EF3484">
        <w:rPr>
          <w:rFonts w:asciiTheme="minorHAnsi" w:hAnsiTheme="minorHAnsi" w:cstheme="minorHAnsi"/>
          <w:szCs w:val="24"/>
        </w:rPr>
        <w:t>al P</w:t>
      </w:r>
      <w:r w:rsidR="00E06C5D" w:rsidRPr="00EF3484">
        <w:rPr>
          <w:rFonts w:asciiTheme="minorHAnsi" w:hAnsiTheme="minorHAnsi" w:cstheme="minorHAnsi"/>
          <w:szCs w:val="24"/>
        </w:rPr>
        <w:t>residente de la Generalitat</w:t>
      </w:r>
      <w:r w:rsidR="00886AFA" w:rsidRPr="00EF3484">
        <w:rPr>
          <w:rFonts w:asciiTheme="minorHAnsi" w:hAnsiTheme="minorHAnsi" w:cstheme="minorHAnsi"/>
          <w:szCs w:val="24"/>
        </w:rPr>
        <w:t xml:space="preserve"> de Cataluña para que ordene la inmediata retirada de las banderas "esteladas" o lazos amarillos que puedan encontrarse en cualquier edificio público dependiente de la Generalidad de Cataluña</w:t>
      </w:r>
      <w:r w:rsidR="00E06C5D" w:rsidRPr="00EF3484">
        <w:rPr>
          <w:rFonts w:asciiTheme="minorHAnsi" w:hAnsiTheme="minorHAnsi" w:cstheme="minorHAnsi"/>
          <w:szCs w:val="24"/>
        </w:rPr>
        <w:t xml:space="preserve"> y lo ha justificado de la siguiente manera: </w:t>
      </w:r>
    </w:p>
    <w:p w14:paraId="0289E8F0" w14:textId="7FAF1E58" w:rsidR="00886AFA" w:rsidRPr="00EF3484" w:rsidRDefault="00E06C5D" w:rsidP="00886AFA">
      <w:pPr>
        <w:autoSpaceDE w:val="0"/>
        <w:autoSpaceDN w:val="0"/>
        <w:adjustRightInd w:val="0"/>
        <w:spacing w:after="360"/>
        <w:rPr>
          <w:rFonts w:asciiTheme="minorHAnsi" w:hAnsiTheme="minorHAnsi" w:cstheme="minorHAnsi"/>
          <w:i/>
          <w:szCs w:val="24"/>
        </w:rPr>
      </w:pPr>
      <w:r w:rsidRPr="00EF3484">
        <w:rPr>
          <w:rFonts w:asciiTheme="minorHAnsi" w:hAnsiTheme="minorHAnsi" w:cstheme="minorHAnsi"/>
          <w:i/>
          <w:szCs w:val="24"/>
        </w:rPr>
        <w:t xml:space="preserve"> </w:t>
      </w:r>
      <w:r w:rsidR="00886AFA" w:rsidRPr="00EF3484">
        <w:rPr>
          <w:rFonts w:asciiTheme="minorHAnsi" w:hAnsiTheme="minorHAnsi" w:cstheme="minorHAnsi"/>
          <w:i/>
          <w:szCs w:val="24"/>
        </w:rPr>
        <w:t xml:space="preserve">“La Junta Electoral Central tiene una reiterada doctrina sobre la obligación de los poderes públicos de mantener estrictamente la neutralidad política durante los procesos electorales (Acuerdos de 13 y 20 de mayo de 2015, 10 de septiembre de 2015, y 24 de noviembre y 4 de diciembre de 2017), doctrina confirmada por la Sentencia de la Sala de lo Contencioso-Administrativo del Tribunal Supremo (Sección 6ª) de 28 de abril de 2016. </w:t>
      </w:r>
    </w:p>
    <w:p w14:paraId="1E37378F" w14:textId="77777777" w:rsidR="00886AFA" w:rsidRPr="00EF3484" w:rsidRDefault="00886AFA" w:rsidP="00886AFA">
      <w:pPr>
        <w:autoSpaceDE w:val="0"/>
        <w:autoSpaceDN w:val="0"/>
        <w:adjustRightInd w:val="0"/>
        <w:spacing w:after="360"/>
        <w:rPr>
          <w:rFonts w:asciiTheme="minorHAnsi" w:hAnsiTheme="minorHAnsi" w:cstheme="minorHAnsi"/>
          <w:i/>
          <w:szCs w:val="24"/>
        </w:rPr>
      </w:pPr>
      <w:r w:rsidRPr="00EF3484">
        <w:rPr>
          <w:rFonts w:asciiTheme="minorHAnsi" w:hAnsiTheme="minorHAnsi" w:cstheme="minorHAnsi"/>
          <w:i/>
          <w:szCs w:val="24"/>
        </w:rPr>
        <w:t>Asimismo, tiene declarado que la igualdad en el sufragio es esencial en la representación democrática, y por eso la ley encomienda a la administración electoral preservarla y prohíbe a los poderes públicos -que están al servicio de todos los ciudadanos- tomar partido en las elecciones. A lo que cabe añadir que las libertades ideológicas y de expresión son derechos fundamentales de las personas, no de los gobernantes, de manera que los ciudadanos pueden ejercerlos sin más restricciones que las que imponga el respeto de los derechos de los demás (Acuerdo de 20 de mayo de 2015).</w:t>
      </w:r>
    </w:p>
    <w:p w14:paraId="11D0A00F" w14:textId="23FA03EB" w:rsidR="00886AFA" w:rsidRDefault="00886AFA" w:rsidP="00886AFA">
      <w:pPr>
        <w:autoSpaceDE w:val="0"/>
        <w:autoSpaceDN w:val="0"/>
        <w:adjustRightInd w:val="0"/>
        <w:spacing w:after="360"/>
        <w:rPr>
          <w:rFonts w:asciiTheme="minorHAnsi" w:hAnsiTheme="minorHAnsi" w:cstheme="minorHAnsi"/>
          <w:i/>
          <w:szCs w:val="24"/>
        </w:rPr>
      </w:pPr>
      <w:r w:rsidRPr="00EF3484">
        <w:rPr>
          <w:rFonts w:asciiTheme="minorHAnsi" w:hAnsiTheme="minorHAnsi" w:cstheme="minorHAnsi"/>
          <w:i/>
          <w:szCs w:val="24"/>
        </w:rPr>
        <w:t xml:space="preserve">Finalmente, también tiene declarado que el lazo amarillo y la bandera "estelada" son símbolos partidistas utilizados por formaciones electorales concurrentes a las elecciones. El lazo amarillo porque se ha utilizado para recordar a dirigentes o candidatos pertenecientes a formaciones políticas que se encuentran en situación de prisión preventiva. La bandera "estelada" por cuanto también se utiliza como símbolo de determinadas formaciones políticas. Ambos son signos que pueden ser legítimamente </w:t>
      </w:r>
      <w:r w:rsidRPr="00EF3484">
        <w:rPr>
          <w:rFonts w:asciiTheme="minorHAnsi" w:hAnsiTheme="minorHAnsi" w:cstheme="minorHAnsi"/>
          <w:i/>
          <w:szCs w:val="24"/>
        </w:rPr>
        <w:lastRenderedPageBreak/>
        <w:t>utilizados por estas formaciones políticas en su propaganda electoral pero no por los poderes públicos ya que estos deben mantener una rigurosa neutralidad política (Acuerdos de 10 de mayo de 2015 y de 4 de diciembre de 2017).</w:t>
      </w:r>
      <w:r w:rsidR="00E06C5D" w:rsidRPr="00EF3484">
        <w:rPr>
          <w:rFonts w:asciiTheme="minorHAnsi" w:hAnsiTheme="minorHAnsi" w:cstheme="minorHAnsi"/>
          <w:i/>
          <w:szCs w:val="24"/>
        </w:rPr>
        <w:t>”</w:t>
      </w:r>
      <w:r w:rsidRPr="00EF3484">
        <w:rPr>
          <w:rFonts w:asciiTheme="minorHAnsi" w:hAnsiTheme="minorHAnsi" w:cstheme="minorHAnsi"/>
          <w:i/>
          <w:szCs w:val="24"/>
        </w:rPr>
        <w:t xml:space="preserve"> </w:t>
      </w:r>
    </w:p>
    <w:p w14:paraId="6C1EAFF6" w14:textId="6AE6D8D1" w:rsidR="00EA7616" w:rsidRPr="00EA7616" w:rsidRDefault="00EA7616" w:rsidP="00886AFA">
      <w:pPr>
        <w:autoSpaceDE w:val="0"/>
        <w:autoSpaceDN w:val="0"/>
        <w:adjustRightInd w:val="0"/>
        <w:spacing w:after="360"/>
        <w:rPr>
          <w:rFonts w:asciiTheme="minorHAnsi" w:hAnsiTheme="minorHAnsi" w:cstheme="minorHAnsi"/>
          <w:szCs w:val="24"/>
        </w:rPr>
      </w:pPr>
      <w:r>
        <w:rPr>
          <w:rFonts w:asciiTheme="minorHAnsi" w:hAnsiTheme="minorHAnsi" w:cstheme="minorHAnsi"/>
          <w:szCs w:val="24"/>
        </w:rPr>
        <w:t xml:space="preserve">En parecido sentido se ha pronunciado la Junta Electoral Central </w:t>
      </w:r>
      <w:r w:rsidR="00CD397A" w:rsidRPr="00CD397A">
        <w:rPr>
          <w:rFonts w:asciiTheme="minorHAnsi" w:hAnsiTheme="minorHAnsi" w:cstheme="minorHAnsi"/>
          <w:szCs w:val="24"/>
        </w:rPr>
        <w:t xml:space="preserve">en los acuerdos </w:t>
      </w:r>
      <w:r>
        <w:rPr>
          <w:rFonts w:asciiTheme="minorHAnsi" w:hAnsiTheme="minorHAnsi" w:cstheme="minorHAnsi"/>
          <w:szCs w:val="24"/>
        </w:rPr>
        <w:t xml:space="preserve">de 18, 21 y 2 de octubre de 2019. En especial, interesa destacar el pronunciamiento referente al acuerdo 581/2019, de 2 de octubre de 2019, llevado a efecto con motivo de la convocatoria de las elecciones generales del 10 de noviembre de 2019 </w:t>
      </w:r>
      <w:r w:rsidR="005D05B8">
        <w:rPr>
          <w:rFonts w:asciiTheme="minorHAnsi" w:hAnsiTheme="minorHAnsi" w:cstheme="minorHAnsi"/>
          <w:szCs w:val="24"/>
        </w:rPr>
        <w:t xml:space="preserve">(Real Decreto 551/2019, de 24 de septiembre). </w:t>
      </w:r>
    </w:p>
    <w:p w14:paraId="7FF137C2" w14:textId="2FA427F2" w:rsidR="00E06C5D" w:rsidRPr="00EF3484" w:rsidRDefault="005D05B8" w:rsidP="00886AFA">
      <w:pPr>
        <w:autoSpaceDE w:val="0"/>
        <w:autoSpaceDN w:val="0"/>
        <w:adjustRightInd w:val="0"/>
        <w:spacing w:after="360"/>
        <w:rPr>
          <w:rFonts w:asciiTheme="minorHAnsi" w:hAnsiTheme="minorHAnsi" w:cstheme="minorHAnsi"/>
          <w:szCs w:val="24"/>
        </w:rPr>
      </w:pPr>
      <w:proofErr w:type="gramStart"/>
      <w:r>
        <w:rPr>
          <w:rFonts w:asciiTheme="minorHAnsi" w:hAnsiTheme="minorHAnsi" w:cstheme="minorHAnsi"/>
          <w:b/>
          <w:szCs w:val="24"/>
        </w:rPr>
        <w:t>CUARTO</w:t>
      </w:r>
      <w:r w:rsidR="00E06C5D" w:rsidRPr="006B4F49">
        <w:rPr>
          <w:rFonts w:asciiTheme="minorHAnsi" w:hAnsiTheme="minorHAnsi" w:cstheme="minorHAnsi"/>
          <w:b/>
          <w:szCs w:val="24"/>
        </w:rPr>
        <w:t>.-</w:t>
      </w:r>
      <w:proofErr w:type="gramEnd"/>
      <w:r w:rsidR="00E06C5D" w:rsidRPr="00EF3484">
        <w:rPr>
          <w:rFonts w:asciiTheme="minorHAnsi" w:hAnsiTheme="minorHAnsi" w:cstheme="minorHAnsi"/>
          <w:szCs w:val="24"/>
        </w:rPr>
        <w:t xml:space="preserve"> La doctrina que contiene</w:t>
      </w:r>
      <w:r>
        <w:rPr>
          <w:rFonts w:asciiTheme="minorHAnsi" w:hAnsiTheme="minorHAnsi" w:cstheme="minorHAnsi"/>
          <w:szCs w:val="24"/>
        </w:rPr>
        <w:t xml:space="preserve">n estos acuerdos </w:t>
      </w:r>
      <w:r w:rsidR="00E06C5D" w:rsidRPr="00EF3484">
        <w:rPr>
          <w:rFonts w:asciiTheme="minorHAnsi" w:hAnsiTheme="minorHAnsi" w:cstheme="minorHAnsi"/>
          <w:szCs w:val="24"/>
        </w:rPr>
        <w:t xml:space="preserve">es extensible a </w:t>
      </w:r>
      <w:r w:rsidR="00CD397A">
        <w:rPr>
          <w:rFonts w:asciiTheme="minorHAnsi" w:hAnsiTheme="minorHAnsi" w:cstheme="minorHAnsi"/>
          <w:szCs w:val="24"/>
        </w:rPr>
        <w:t xml:space="preserve">todas </w:t>
      </w:r>
      <w:r w:rsidR="00E06C5D" w:rsidRPr="00EF3484">
        <w:rPr>
          <w:rFonts w:asciiTheme="minorHAnsi" w:hAnsiTheme="minorHAnsi" w:cstheme="minorHAnsi"/>
          <w:szCs w:val="24"/>
        </w:rPr>
        <w:t xml:space="preserve">las Administraciones </w:t>
      </w:r>
      <w:r w:rsidR="00CD397A">
        <w:rPr>
          <w:rFonts w:asciiTheme="minorHAnsi" w:hAnsiTheme="minorHAnsi" w:cstheme="minorHAnsi"/>
          <w:szCs w:val="24"/>
        </w:rPr>
        <w:t>y Poderes públicos</w:t>
      </w:r>
      <w:r w:rsidR="00E06C5D" w:rsidRPr="00EF3484">
        <w:rPr>
          <w:rFonts w:asciiTheme="minorHAnsi" w:hAnsiTheme="minorHAnsi" w:cstheme="minorHAnsi"/>
          <w:szCs w:val="24"/>
        </w:rPr>
        <w:t>, por lo que resulta del todo punto inadmisible, en aras del deber de neutralidad institucional invocado, la presencia de</w:t>
      </w:r>
      <w:r w:rsidR="00DF255D" w:rsidRPr="00EF3484">
        <w:rPr>
          <w:rFonts w:asciiTheme="minorHAnsi" w:hAnsiTheme="minorHAnsi" w:cstheme="minorHAnsi"/>
          <w:szCs w:val="24"/>
        </w:rPr>
        <w:t xml:space="preserve"> símbolos</w:t>
      </w:r>
      <w:r w:rsidR="00325598">
        <w:rPr>
          <w:rFonts w:asciiTheme="minorHAnsi" w:hAnsiTheme="minorHAnsi" w:cstheme="minorHAnsi"/>
          <w:szCs w:val="24"/>
        </w:rPr>
        <w:t xml:space="preserve"> o elementos </w:t>
      </w:r>
      <w:r w:rsidR="00DF255D" w:rsidRPr="00EF3484">
        <w:rPr>
          <w:rFonts w:asciiTheme="minorHAnsi" w:hAnsiTheme="minorHAnsi" w:cstheme="minorHAnsi"/>
          <w:szCs w:val="24"/>
        </w:rPr>
        <w:t xml:space="preserve"> como </w:t>
      </w:r>
      <w:r w:rsidR="00CD397A">
        <w:rPr>
          <w:rFonts w:asciiTheme="minorHAnsi" w:hAnsiTheme="minorHAnsi" w:cstheme="minorHAnsi"/>
          <w:szCs w:val="24"/>
        </w:rPr>
        <w:t>los aquí denunciados.</w:t>
      </w:r>
    </w:p>
    <w:p w14:paraId="1012FD8B" w14:textId="343A35F0" w:rsidR="00DF255D" w:rsidRPr="00EF3484" w:rsidRDefault="005D05B8" w:rsidP="00886AFA">
      <w:pPr>
        <w:autoSpaceDE w:val="0"/>
        <w:autoSpaceDN w:val="0"/>
        <w:adjustRightInd w:val="0"/>
        <w:spacing w:after="360"/>
        <w:rPr>
          <w:rFonts w:asciiTheme="minorHAnsi" w:hAnsiTheme="minorHAnsi" w:cstheme="minorHAnsi"/>
          <w:szCs w:val="24"/>
        </w:rPr>
      </w:pPr>
      <w:proofErr w:type="gramStart"/>
      <w:r w:rsidRPr="006B4F49">
        <w:rPr>
          <w:rFonts w:asciiTheme="minorHAnsi" w:hAnsiTheme="minorHAnsi" w:cstheme="minorHAnsi"/>
          <w:b/>
          <w:szCs w:val="24"/>
        </w:rPr>
        <w:t>QUINTO</w:t>
      </w:r>
      <w:r w:rsidR="008021E5" w:rsidRPr="006B4F49">
        <w:rPr>
          <w:rFonts w:asciiTheme="minorHAnsi" w:hAnsiTheme="minorHAnsi" w:cstheme="minorHAnsi"/>
          <w:b/>
          <w:szCs w:val="24"/>
        </w:rPr>
        <w:t>.-</w:t>
      </w:r>
      <w:proofErr w:type="gramEnd"/>
      <w:r w:rsidR="008021E5" w:rsidRPr="00EF3484">
        <w:rPr>
          <w:rFonts w:asciiTheme="minorHAnsi" w:hAnsiTheme="minorHAnsi" w:cstheme="minorHAnsi"/>
          <w:szCs w:val="24"/>
        </w:rPr>
        <w:t xml:space="preserve"> </w:t>
      </w:r>
      <w:r w:rsidR="00E06C5D" w:rsidRPr="00EF3484">
        <w:rPr>
          <w:rFonts w:asciiTheme="minorHAnsi" w:hAnsiTheme="minorHAnsi" w:cstheme="minorHAnsi"/>
          <w:szCs w:val="24"/>
        </w:rPr>
        <w:t xml:space="preserve">Que el deber de neutralidad de las instituciones debe ser permanente, pero debe incrementarse el celo en el cumplimiento de este principio singularmente en períodos electorales. A esos efectos, es notorio que se ha procedido a convocar elecciones </w:t>
      </w:r>
      <w:r>
        <w:rPr>
          <w:rFonts w:asciiTheme="minorHAnsi" w:hAnsiTheme="minorHAnsi" w:cstheme="minorHAnsi"/>
          <w:szCs w:val="24"/>
        </w:rPr>
        <w:t>generales por Real Decreto 551</w:t>
      </w:r>
      <w:r w:rsidR="00DF255D" w:rsidRPr="00EF3484">
        <w:rPr>
          <w:rFonts w:asciiTheme="minorHAnsi" w:hAnsiTheme="minorHAnsi" w:cstheme="minorHAnsi"/>
          <w:szCs w:val="24"/>
        </w:rPr>
        <w:t xml:space="preserve">/2019, de </w:t>
      </w:r>
      <w:r>
        <w:rPr>
          <w:rFonts w:asciiTheme="minorHAnsi" w:hAnsiTheme="minorHAnsi" w:cstheme="minorHAnsi"/>
          <w:szCs w:val="24"/>
        </w:rPr>
        <w:t>2</w:t>
      </w:r>
      <w:r w:rsidR="00DF255D" w:rsidRPr="00EF3484">
        <w:rPr>
          <w:rFonts w:asciiTheme="minorHAnsi" w:hAnsiTheme="minorHAnsi" w:cstheme="minorHAnsi"/>
          <w:szCs w:val="24"/>
        </w:rPr>
        <w:t xml:space="preserve">4 de </w:t>
      </w:r>
      <w:r>
        <w:rPr>
          <w:rFonts w:asciiTheme="minorHAnsi" w:hAnsiTheme="minorHAnsi" w:cstheme="minorHAnsi"/>
          <w:szCs w:val="24"/>
        </w:rPr>
        <w:t>septiembre</w:t>
      </w:r>
      <w:r w:rsidR="00DF255D" w:rsidRPr="00EF3484">
        <w:rPr>
          <w:rFonts w:asciiTheme="minorHAnsi" w:hAnsiTheme="minorHAnsi" w:cstheme="minorHAnsi"/>
          <w:szCs w:val="24"/>
        </w:rPr>
        <w:t xml:space="preserve">, </w:t>
      </w:r>
      <w:r w:rsidR="008021E5" w:rsidRPr="00EF3484">
        <w:rPr>
          <w:rFonts w:asciiTheme="minorHAnsi" w:hAnsiTheme="minorHAnsi" w:cstheme="minorHAnsi"/>
          <w:szCs w:val="24"/>
        </w:rPr>
        <w:t xml:space="preserve">para el día </w:t>
      </w:r>
      <w:r>
        <w:rPr>
          <w:rFonts w:asciiTheme="minorHAnsi" w:hAnsiTheme="minorHAnsi" w:cstheme="minorHAnsi"/>
          <w:szCs w:val="24"/>
        </w:rPr>
        <w:t>10 de noviembre</w:t>
      </w:r>
      <w:r w:rsidR="008021E5" w:rsidRPr="00EF3484">
        <w:rPr>
          <w:rFonts w:asciiTheme="minorHAnsi" w:hAnsiTheme="minorHAnsi" w:cstheme="minorHAnsi"/>
          <w:szCs w:val="24"/>
        </w:rPr>
        <w:t xml:space="preserve"> de 2019, lo que conlleva que sea contraria a los principios de libertad e igualdad electoral </w:t>
      </w:r>
      <w:r w:rsidR="00E06C5D" w:rsidRPr="00EF3484">
        <w:rPr>
          <w:rFonts w:asciiTheme="minorHAnsi" w:hAnsiTheme="minorHAnsi" w:cstheme="minorHAnsi"/>
          <w:szCs w:val="24"/>
        </w:rPr>
        <w:t>la exhibición de símbolos que puedan considerarse partidistas</w:t>
      </w:r>
      <w:r w:rsidR="008021E5" w:rsidRPr="00EF3484">
        <w:rPr>
          <w:rFonts w:asciiTheme="minorHAnsi" w:hAnsiTheme="minorHAnsi" w:cstheme="minorHAnsi"/>
          <w:szCs w:val="24"/>
        </w:rPr>
        <w:t xml:space="preserve">. Por ello, </w:t>
      </w:r>
      <w:r w:rsidR="00E06C5D" w:rsidRPr="00EF3484">
        <w:rPr>
          <w:rFonts w:asciiTheme="minorHAnsi" w:hAnsiTheme="minorHAnsi" w:cstheme="minorHAnsi"/>
          <w:szCs w:val="24"/>
        </w:rPr>
        <w:t>deben retirarse los colocado</w:t>
      </w:r>
      <w:r w:rsidR="00DF255D" w:rsidRPr="00EF3484">
        <w:rPr>
          <w:rFonts w:asciiTheme="minorHAnsi" w:hAnsiTheme="minorHAnsi" w:cstheme="minorHAnsi"/>
          <w:szCs w:val="24"/>
        </w:rPr>
        <w:t>s</w:t>
      </w:r>
      <w:r w:rsidR="00E06C5D" w:rsidRPr="00EF3484">
        <w:rPr>
          <w:rFonts w:asciiTheme="minorHAnsi" w:hAnsiTheme="minorHAnsi" w:cstheme="minorHAnsi"/>
          <w:szCs w:val="24"/>
        </w:rPr>
        <w:t xml:space="preserve"> en edificios oficiales, edificios públicos, lugares de titularidad pública como locales electorales y espacios públicos.</w:t>
      </w:r>
    </w:p>
    <w:p w14:paraId="07A7F8A5" w14:textId="74FAA543" w:rsidR="008021E5" w:rsidRPr="00EF3484" w:rsidRDefault="005D05B8" w:rsidP="008021E5">
      <w:pPr>
        <w:autoSpaceDE w:val="0"/>
        <w:autoSpaceDN w:val="0"/>
        <w:adjustRightInd w:val="0"/>
        <w:spacing w:after="360"/>
        <w:rPr>
          <w:rFonts w:asciiTheme="minorHAnsi" w:hAnsiTheme="minorHAnsi" w:cstheme="minorHAnsi"/>
          <w:szCs w:val="24"/>
        </w:rPr>
      </w:pPr>
      <w:r w:rsidRPr="006B4F49">
        <w:rPr>
          <w:rFonts w:asciiTheme="minorHAnsi" w:hAnsiTheme="minorHAnsi" w:cstheme="minorHAnsi"/>
          <w:b/>
          <w:szCs w:val="24"/>
        </w:rPr>
        <w:t>SEXTO</w:t>
      </w:r>
      <w:r w:rsidR="008021E5" w:rsidRPr="006B4F49">
        <w:rPr>
          <w:rFonts w:asciiTheme="minorHAnsi" w:hAnsiTheme="minorHAnsi" w:cstheme="minorHAnsi"/>
          <w:b/>
          <w:szCs w:val="24"/>
        </w:rPr>
        <w:t>.-</w:t>
      </w:r>
      <w:r w:rsidR="008021E5" w:rsidRPr="00EF3484">
        <w:rPr>
          <w:rFonts w:asciiTheme="minorHAnsi" w:hAnsiTheme="minorHAnsi" w:cstheme="minorHAnsi"/>
          <w:szCs w:val="24"/>
        </w:rPr>
        <w:t xml:space="preserve"> Por su parte, el artículo 153 de la LOREG dispone que: “Toda infracción de las normas obligatorias establecidas en la presente Ley que no constituya delito será sancionada por la Junta Electoral competente. La multa será de 300 a 3.000 euros si se trata de autoridades o funcionarios y de 100 a 1.000 si se realiza por particulares.” </w:t>
      </w:r>
    </w:p>
    <w:p w14:paraId="36122642" w14:textId="51FA7AA0" w:rsidR="008021E5" w:rsidRDefault="008021E5" w:rsidP="008021E5">
      <w:pPr>
        <w:autoSpaceDE w:val="0"/>
        <w:autoSpaceDN w:val="0"/>
        <w:adjustRightInd w:val="0"/>
        <w:spacing w:after="360"/>
        <w:rPr>
          <w:rFonts w:asciiTheme="minorHAnsi" w:hAnsiTheme="minorHAnsi" w:cstheme="minorHAnsi"/>
          <w:szCs w:val="24"/>
        </w:rPr>
      </w:pPr>
      <w:r w:rsidRPr="00EF3484">
        <w:rPr>
          <w:rFonts w:asciiTheme="minorHAnsi" w:hAnsiTheme="minorHAnsi" w:cstheme="minorHAnsi"/>
          <w:szCs w:val="24"/>
        </w:rPr>
        <w:t>El incumplimiento de este mandato puede dar lugar a una infracción electoral y a la comisión de delitos en caso de desobediencia.</w:t>
      </w:r>
    </w:p>
    <w:p w14:paraId="79FD8BFA" w14:textId="73B72D47" w:rsidR="008021E5" w:rsidRPr="00EF3484" w:rsidRDefault="008021E5" w:rsidP="00886AFA">
      <w:pPr>
        <w:autoSpaceDE w:val="0"/>
        <w:autoSpaceDN w:val="0"/>
        <w:adjustRightInd w:val="0"/>
        <w:spacing w:after="360"/>
        <w:rPr>
          <w:rFonts w:asciiTheme="minorHAnsi" w:hAnsiTheme="minorHAnsi" w:cstheme="minorHAnsi"/>
          <w:szCs w:val="24"/>
        </w:rPr>
      </w:pPr>
      <w:r w:rsidRPr="00EF3484">
        <w:rPr>
          <w:rFonts w:asciiTheme="minorHAnsi" w:hAnsiTheme="minorHAnsi" w:cstheme="minorHAnsi"/>
          <w:szCs w:val="24"/>
        </w:rPr>
        <w:t xml:space="preserve">En virtud de lo expuesto, </w:t>
      </w:r>
    </w:p>
    <w:p w14:paraId="3BB73EB8" w14:textId="59D04C5F" w:rsidR="008021E5" w:rsidRPr="00EF3484" w:rsidRDefault="008021E5" w:rsidP="008021E5">
      <w:pPr>
        <w:autoSpaceDE w:val="0"/>
        <w:autoSpaceDN w:val="0"/>
        <w:adjustRightInd w:val="0"/>
        <w:spacing w:after="360"/>
        <w:rPr>
          <w:rFonts w:asciiTheme="minorHAnsi" w:hAnsiTheme="minorHAnsi" w:cstheme="minorHAnsi"/>
          <w:szCs w:val="24"/>
        </w:rPr>
      </w:pPr>
      <w:r w:rsidRPr="006B4F49">
        <w:rPr>
          <w:rFonts w:asciiTheme="minorHAnsi" w:hAnsiTheme="minorHAnsi" w:cstheme="minorHAnsi"/>
          <w:b/>
          <w:szCs w:val="24"/>
        </w:rPr>
        <w:lastRenderedPageBreak/>
        <w:t>SOLICITO:</w:t>
      </w:r>
      <w:r w:rsidRPr="00EF3484">
        <w:rPr>
          <w:rFonts w:asciiTheme="minorHAnsi" w:hAnsiTheme="minorHAnsi" w:cstheme="minorHAnsi"/>
          <w:szCs w:val="24"/>
        </w:rPr>
        <w:t xml:space="preserve"> Que tenga por presentado este escrito de denuncia y se tenga por comunicada la presencia de los símbolos a que se hace referencia en el punto </w:t>
      </w:r>
      <w:r w:rsidR="004031F5">
        <w:rPr>
          <w:rFonts w:asciiTheme="minorHAnsi" w:hAnsiTheme="minorHAnsi" w:cstheme="minorHAnsi"/>
          <w:szCs w:val="24"/>
        </w:rPr>
        <w:t>primero</w:t>
      </w:r>
      <w:r w:rsidRPr="00EF3484">
        <w:rPr>
          <w:rFonts w:asciiTheme="minorHAnsi" w:hAnsiTheme="minorHAnsi" w:cstheme="minorHAnsi"/>
          <w:szCs w:val="24"/>
        </w:rPr>
        <w:t xml:space="preserve"> de este escrito; declare que la presencia de estos símbolos es incompatible con la obligación de neutralidad de los poderes públicos en períodos electorales; y ordene la </w:t>
      </w:r>
      <w:r w:rsidR="00EF3484" w:rsidRPr="00EF3484">
        <w:rPr>
          <w:rFonts w:asciiTheme="minorHAnsi" w:hAnsiTheme="minorHAnsi" w:cstheme="minorHAnsi"/>
          <w:szCs w:val="24"/>
        </w:rPr>
        <w:t xml:space="preserve">inmediata </w:t>
      </w:r>
      <w:r w:rsidRPr="00EF3484">
        <w:rPr>
          <w:rFonts w:asciiTheme="minorHAnsi" w:hAnsiTheme="minorHAnsi" w:cstheme="minorHAnsi"/>
          <w:szCs w:val="24"/>
        </w:rPr>
        <w:t>retirada</w:t>
      </w:r>
      <w:r w:rsidR="00EF3484" w:rsidRPr="00EF3484">
        <w:rPr>
          <w:rFonts w:asciiTheme="minorHAnsi" w:hAnsiTheme="minorHAnsi" w:cstheme="minorHAnsi"/>
          <w:szCs w:val="24"/>
        </w:rPr>
        <w:t xml:space="preserve"> (en todo caso en período inferior a 48 horas desde la adopción del acuerdo) de </w:t>
      </w:r>
      <w:r w:rsidR="00CD397A">
        <w:rPr>
          <w:rFonts w:asciiTheme="minorHAnsi" w:hAnsiTheme="minorHAnsi" w:cstheme="minorHAnsi"/>
          <w:szCs w:val="24"/>
        </w:rPr>
        <w:t>esos elementos.</w:t>
      </w:r>
      <w:r w:rsidR="00EF3484" w:rsidRPr="00EF3484">
        <w:rPr>
          <w:rFonts w:asciiTheme="minorHAnsi" w:hAnsiTheme="minorHAnsi" w:cstheme="minorHAnsi"/>
          <w:szCs w:val="24"/>
        </w:rPr>
        <w:t xml:space="preserve"> </w:t>
      </w:r>
    </w:p>
    <w:p w14:paraId="2EB86994" w14:textId="5A28872F" w:rsidR="008021E5" w:rsidRPr="00EF3484" w:rsidRDefault="00EF3484" w:rsidP="008021E5">
      <w:pPr>
        <w:autoSpaceDE w:val="0"/>
        <w:autoSpaceDN w:val="0"/>
        <w:adjustRightInd w:val="0"/>
        <w:spacing w:after="360"/>
        <w:rPr>
          <w:rFonts w:asciiTheme="minorHAnsi" w:hAnsiTheme="minorHAnsi" w:cstheme="minorHAnsi"/>
          <w:szCs w:val="24"/>
        </w:rPr>
      </w:pPr>
      <w:r w:rsidRPr="00EF3484">
        <w:rPr>
          <w:rFonts w:asciiTheme="minorHAnsi" w:hAnsiTheme="minorHAnsi" w:cstheme="minorHAnsi"/>
          <w:szCs w:val="24"/>
        </w:rPr>
        <w:t>Asimismo, se solicita que se i</w:t>
      </w:r>
      <w:r w:rsidR="008021E5" w:rsidRPr="00EF3484">
        <w:rPr>
          <w:rFonts w:asciiTheme="minorHAnsi" w:hAnsiTheme="minorHAnsi" w:cstheme="minorHAnsi"/>
          <w:szCs w:val="24"/>
        </w:rPr>
        <w:t xml:space="preserve">nicie expediente sancionador contra </w:t>
      </w:r>
      <w:r w:rsidR="00325598">
        <w:rPr>
          <w:rFonts w:asciiTheme="minorHAnsi" w:hAnsiTheme="minorHAnsi" w:cstheme="minorHAnsi"/>
          <w:szCs w:val="24"/>
        </w:rPr>
        <w:t>los infractores</w:t>
      </w:r>
      <w:r w:rsidR="00CD397A">
        <w:rPr>
          <w:rFonts w:asciiTheme="minorHAnsi" w:hAnsiTheme="minorHAnsi" w:cstheme="minorHAnsi"/>
          <w:szCs w:val="24"/>
        </w:rPr>
        <w:t>.</w:t>
      </w:r>
    </w:p>
    <w:p w14:paraId="73FC8E88" w14:textId="3EF1DD78" w:rsidR="008F6421" w:rsidRPr="00EF3484" w:rsidRDefault="007F3471" w:rsidP="00EF3484">
      <w:pPr>
        <w:autoSpaceDE w:val="0"/>
        <w:autoSpaceDN w:val="0"/>
        <w:adjustRightInd w:val="0"/>
        <w:spacing w:after="360"/>
        <w:rPr>
          <w:rFonts w:asciiTheme="minorHAnsi" w:hAnsiTheme="minorHAnsi" w:cstheme="minorHAnsi"/>
          <w:szCs w:val="24"/>
        </w:rPr>
      </w:pPr>
      <w:r w:rsidRPr="00EF3484">
        <w:rPr>
          <w:rFonts w:asciiTheme="minorHAnsi" w:hAnsiTheme="minorHAnsi" w:cstheme="minorHAnsi"/>
          <w:szCs w:val="24"/>
        </w:rPr>
        <w:t>En</w:t>
      </w:r>
      <w:r w:rsidR="00CD397A">
        <w:rPr>
          <w:rFonts w:asciiTheme="minorHAnsi" w:hAnsiTheme="minorHAnsi" w:cstheme="minorHAnsi"/>
          <w:szCs w:val="24"/>
        </w:rPr>
        <w:t>………………………………</w:t>
      </w:r>
      <w:proofErr w:type="gramStart"/>
      <w:r w:rsidR="00CD397A">
        <w:rPr>
          <w:rFonts w:asciiTheme="minorHAnsi" w:hAnsiTheme="minorHAnsi" w:cstheme="minorHAnsi"/>
          <w:szCs w:val="24"/>
        </w:rPr>
        <w:t xml:space="preserve">…, </w:t>
      </w:r>
      <w:r w:rsidR="00AA26F0" w:rsidRPr="00EF3484">
        <w:rPr>
          <w:rFonts w:asciiTheme="minorHAnsi" w:hAnsiTheme="minorHAnsi" w:cstheme="minorHAnsi"/>
          <w:szCs w:val="24"/>
        </w:rPr>
        <w:t xml:space="preserve"> </w:t>
      </w:r>
      <w:r w:rsidRPr="00EF3484">
        <w:rPr>
          <w:rFonts w:asciiTheme="minorHAnsi" w:hAnsiTheme="minorHAnsi" w:cstheme="minorHAnsi"/>
          <w:szCs w:val="24"/>
        </w:rPr>
        <w:t>a</w:t>
      </w:r>
      <w:proofErr w:type="gramEnd"/>
      <w:r w:rsidR="00AA26F0" w:rsidRPr="00EF3484">
        <w:rPr>
          <w:rFonts w:asciiTheme="minorHAnsi" w:hAnsiTheme="minorHAnsi" w:cstheme="minorHAnsi"/>
          <w:szCs w:val="24"/>
        </w:rPr>
        <w:t xml:space="preserve"> </w:t>
      </w:r>
      <w:r w:rsidR="00CD397A">
        <w:rPr>
          <w:rFonts w:asciiTheme="minorHAnsi" w:hAnsiTheme="minorHAnsi" w:cstheme="minorHAnsi"/>
          <w:szCs w:val="24"/>
        </w:rPr>
        <w:t>………………………</w:t>
      </w:r>
      <w:r w:rsidR="00AA26F0" w:rsidRPr="00EF3484">
        <w:rPr>
          <w:rFonts w:asciiTheme="minorHAnsi" w:hAnsiTheme="minorHAnsi" w:cstheme="minorHAnsi"/>
          <w:szCs w:val="24"/>
        </w:rPr>
        <w:t>d</w:t>
      </w:r>
      <w:r w:rsidRPr="00EF3484">
        <w:rPr>
          <w:rFonts w:asciiTheme="minorHAnsi" w:hAnsiTheme="minorHAnsi" w:cstheme="minorHAnsi"/>
          <w:szCs w:val="24"/>
        </w:rPr>
        <w:t>e</w:t>
      </w:r>
      <w:r w:rsidR="00AA26F0" w:rsidRPr="00EF3484">
        <w:rPr>
          <w:rFonts w:asciiTheme="minorHAnsi" w:hAnsiTheme="minorHAnsi" w:cstheme="minorHAnsi"/>
          <w:szCs w:val="24"/>
        </w:rPr>
        <w:t xml:space="preserve"> </w:t>
      </w:r>
      <w:r w:rsidRPr="00EF3484">
        <w:rPr>
          <w:rFonts w:asciiTheme="minorHAnsi" w:hAnsiTheme="minorHAnsi" w:cstheme="minorHAnsi"/>
          <w:szCs w:val="24"/>
        </w:rPr>
        <w:t>201</w:t>
      </w:r>
      <w:r w:rsidR="00AA26F0" w:rsidRPr="00EF3484">
        <w:rPr>
          <w:rFonts w:asciiTheme="minorHAnsi" w:hAnsiTheme="minorHAnsi" w:cstheme="minorHAnsi"/>
          <w:szCs w:val="24"/>
        </w:rPr>
        <w:t>9.</w:t>
      </w:r>
      <w:r w:rsidR="00EF3484" w:rsidRPr="00EF3484">
        <w:rPr>
          <w:rFonts w:asciiTheme="minorHAnsi" w:hAnsiTheme="minorHAnsi" w:cstheme="minorHAnsi"/>
          <w:szCs w:val="24"/>
        </w:rPr>
        <w:t xml:space="preserve"> </w:t>
      </w:r>
    </w:p>
    <w:p w14:paraId="3AF4EE18" w14:textId="77777777" w:rsidR="00ED57A1" w:rsidRPr="00EF3484" w:rsidRDefault="00ED57A1" w:rsidP="00316FCA">
      <w:pPr>
        <w:spacing w:after="360"/>
        <w:ind w:firstLine="1134"/>
        <w:rPr>
          <w:rFonts w:asciiTheme="minorHAnsi" w:hAnsiTheme="minorHAnsi" w:cstheme="minorHAnsi"/>
          <w:szCs w:val="24"/>
        </w:rPr>
      </w:pPr>
      <w:bookmarkStart w:id="0" w:name="_GoBack"/>
      <w:bookmarkEnd w:id="0"/>
    </w:p>
    <w:sectPr w:rsidR="00ED57A1" w:rsidRPr="00EF3484" w:rsidSect="002C49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59C9D" w14:textId="77777777" w:rsidR="00793B89" w:rsidRDefault="00793B89" w:rsidP="00215221">
      <w:pPr>
        <w:spacing w:after="0" w:line="240" w:lineRule="auto"/>
      </w:pPr>
      <w:r>
        <w:separator/>
      </w:r>
    </w:p>
  </w:endnote>
  <w:endnote w:type="continuationSeparator" w:id="0">
    <w:p w14:paraId="46B65127" w14:textId="77777777" w:rsidR="00793B89" w:rsidRDefault="00793B89" w:rsidP="0021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LTSt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B3CC4" w14:textId="77777777" w:rsidR="00793B89" w:rsidRDefault="00793B89" w:rsidP="00215221">
      <w:pPr>
        <w:spacing w:after="0" w:line="240" w:lineRule="auto"/>
      </w:pPr>
      <w:r>
        <w:separator/>
      </w:r>
    </w:p>
  </w:footnote>
  <w:footnote w:type="continuationSeparator" w:id="0">
    <w:p w14:paraId="166668CD" w14:textId="77777777" w:rsidR="00793B89" w:rsidRDefault="00793B89" w:rsidP="00215221">
      <w:pPr>
        <w:spacing w:after="0" w:line="240" w:lineRule="auto"/>
      </w:pPr>
      <w:r>
        <w:continuationSeparator/>
      </w:r>
    </w:p>
  </w:footnote>
  <w:footnote w:id="1">
    <w:p w14:paraId="65D48BA3" w14:textId="50E72987" w:rsidR="00EF451A" w:rsidRDefault="00215221">
      <w:pPr>
        <w:pStyle w:val="Textonotapie"/>
      </w:pPr>
      <w:r>
        <w:rPr>
          <w:rStyle w:val="Refdenotaalpie"/>
        </w:rPr>
        <w:footnoteRef/>
      </w:r>
      <w:r>
        <w:t xml:space="preserve"> Hay que dirigir el escrito a la Junta Electoral de Zona correspondiente al municipio en el que está colocado el elemento que se denuncia. </w:t>
      </w:r>
      <w:r w:rsidR="00EF451A">
        <w:t xml:space="preserve">La relación de Juntas Electorales de Zona se puede comprobar aquí. </w:t>
      </w:r>
      <w:hyperlink r:id="rId1" w:history="1">
        <w:r w:rsidR="00EF451A" w:rsidRPr="00AC214C">
          <w:rPr>
            <w:rStyle w:val="Hipervnculo"/>
            <w:sz w:val="24"/>
            <w:szCs w:val="22"/>
          </w:rPr>
          <w:t>http://www.juntaelectoralcentral.es/cs/jec/admelectoral/jezona/directorio?comunidad=Catalu%C3%B1a&amp;sIdCCAA=67&amp;template=Jez/JEC_Provincias</w:t>
        </w:r>
      </w:hyperlink>
      <w:r>
        <w:t xml:space="preserve"> </w:t>
      </w:r>
    </w:p>
    <w:p w14:paraId="4F30F5C3" w14:textId="24510BE3" w:rsidR="00EF451A" w:rsidRDefault="00EF451A">
      <w:pPr>
        <w:pStyle w:val="Textonotapie"/>
      </w:pPr>
    </w:p>
    <w:p w14:paraId="5441D955" w14:textId="717B2F33" w:rsidR="00EF451A" w:rsidRDefault="00EF451A">
      <w:pPr>
        <w:pStyle w:val="Textonotapie"/>
      </w:pPr>
      <w:r>
        <w:t xml:space="preserve">Las Juntas Electorales de Zona normalmente admiten las denuncias por correo electrónico. Por lo tanto, se aconseja que se facilite un domicilio electrónico para facilitar la comunicación. </w:t>
      </w:r>
    </w:p>
    <w:p w14:paraId="3653A376" w14:textId="75B17EEF" w:rsidR="00215221" w:rsidRDefault="00215221">
      <w:pPr>
        <w:pStyle w:val="Textonotapie"/>
      </w:pPr>
      <w:r>
        <w:t xml:space="preserve"> </w:t>
      </w:r>
    </w:p>
  </w:footnote>
  <w:footnote w:id="2">
    <w:p w14:paraId="0D264FA4" w14:textId="30A26DFB" w:rsidR="00EF451A" w:rsidRDefault="00EF451A">
      <w:pPr>
        <w:pStyle w:val="Textonotapie"/>
      </w:pPr>
      <w:r>
        <w:rPr>
          <w:rStyle w:val="Refdenotaalpie"/>
        </w:rPr>
        <w:footnoteRef/>
      </w:r>
      <w:r>
        <w:t xml:space="preserve"> Los sitios que pueden ser denunciados ante las Juntas Electorales son los edificios oficiales (ayuntamientos, dependencias de la Generalitat, comisarias, centros educativos sostenidos con fondos públicos, universidades, parques de </w:t>
      </w:r>
      <w:proofErr w:type="gramStart"/>
      <w:r>
        <w:t>bomberos….</w:t>
      </w:r>
      <w:proofErr w:type="gramEnd"/>
      <w:r>
        <w:t>.) y espacios de titularidad pública como calles, plazas, puentes, carreteras, parques….</w:t>
      </w:r>
      <w:r w:rsidR="00CD397A">
        <w:t xml:space="preserve"> La ubicación debe ser muy precisa. </w:t>
      </w:r>
    </w:p>
    <w:p w14:paraId="3D25D0A6" w14:textId="77777777" w:rsidR="00CD397A" w:rsidRDefault="00CD397A">
      <w:pPr>
        <w:pStyle w:val="Textonotapie"/>
      </w:pPr>
    </w:p>
  </w:footnote>
  <w:footnote w:id="3">
    <w:p w14:paraId="465B945C" w14:textId="54445F09" w:rsidR="00CD397A" w:rsidRDefault="00CD397A">
      <w:pPr>
        <w:pStyle w:val="Textonotapie"/>
      </w:pPr>
      <w:r>
        <w:rPr>
          <w:rStyle w:val="Refdenotaalpie"/>
        </w:rPr>
        <w:footnoteRef/>
      </w:r>
      <w:r>
        <w:t xml:space="preserve"> Describir el símbolo partidista o contrario a la neutralidad institucional. A título de ejemplo se relacionan los siguientes: lazos amarillos, esteladas, banderas de partidos, pancartas a favor de los “presos políticos o exiliados”, pancartas a favor de la amnistía, de la República….</w:t>
      </w:r>
    </w:p>
  </w:footnote>
  <w:footnote w:id="4">
    <w:p w14:paraId="667DCE51" w14:textId="10450B99" w:rsidR="00CD397A" w:rsidRDefault="00CD397A">
      <w:pPr>
        <w:pStyle w:val="Textonotapie"/>
      </w:pPr>
      <w:r>
        <w:rPr>
          <w:rStyle w:val="Refdenotaalpie"/>
        </w:rPr>
        <w:footnoteRef/>
      </w:r>
      <w:r>
        <w:t xml:space="preserve"> Es imprescindible acompañar con la denuncia algún testimonio gráfico (fotografía reciente, periódico, página web del organismo oficial) que identifique los símbolos o elementos denunciados.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7A1"/>
    <w:rsid w:val="000657AA"/>
    <w:rsid w:val="000A638D"/>
    <w:rsid w:val="00215221"/>
    <w:rsid w:val="00224C2D"/>
    <w:rsid w:val="002C493B"/>
    <w:rsid w:val="00307217"/>
    <w:rsid w:val="00316FCA"/>
    <w:rsid w:val="00325598"/>
    <w:rsid w:val="004031F5"/>
    <w:rsid w:val="00457C7D"/>
    <w:rsid w:val="005D05B8"/>
    <w:rsid w:val="00617F69"/>
    <w:rsid w:val="006B4F49"/>
    <w:rsid w:val="00793B89"/>
    <w:rsid w:val="007F3471"/>
    <w:rsid w:val="008021E5"/>
    <w:rsid w:val="00886AFA"/>
    <w:rsid w:val="008F6421"/>
    <w:rsid w:val="00AA26F0"/>
    <w:rsid w:val="00AB5938"/>
    <w:rsid w:val="00CD397A"/>
    <w:rsid w:val="00DD1AD6"/>
    <w:rsid w:val="00DF255D"/>
    <w:rsid w:val="00E06C5D"/>
    <w:rsid w:val="00E15814"/>
    <w:rsid w:val="00EA7616"/>
    <w:rsid w:val="00ED57A1"/>
    <w:rsid w:val="00EF3484"/>
    <w:rsid w:val="00EF451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E9A3F"/>
  <w15:docId w15:val="{8E0B2A28-C9DF-4A1B-88A3-8E8610CA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7217"/>
    <w:pPr>
      <w:spacing w:line="360" w:lineRule="auto"/>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TXT">
    <w:name w:val="09_TXT"/>
    <w:basedOn w:val="Normal"/>
    <w:uiPriority w:val="99"/>
    <w:rsid w:val="00ED57A1"/>
    <w:pPr>
      <w:widowControl w:val="0"/>
      <w:autoSpaceDE w:val="0"/>
      <w:autoSpaceDN w:val="0"/>
      <w:adjustRightInd w:val="0"/>
      <w:spacing w:after="0" w:line="230" w:lineRule="atLeast"/>
      <w:ind w:firstLine="340"/>
      <w:textAlignment w:val="center"/>
    </w:pPr>
    <w:rPr>
      <w:rFonts w:ascii="OptimaLTStd" w:eastAsia="Times New Roman" w:hAnsi="OptimaLTStd" w:cs="OptimaLTStd"/>
      <w:color w:val="000000"/>
      <w:sz w:val="20"/>
      <w:szCs w:val="20"/>
      <w:lang w:val="es-ES_tradnl" w:eastAsia="es-ES"/>
    </w:rPr>
  </w:style>
  <w:style w:type="character" w:styleId="Hipervnculo">
    <w:name w:val="Hyperlink"/>
    <w:basedOn w:val="Fuentedeprrafopredeter"/>
    <w:uiPriority w:val="99"/>
    <w:unhideWhenUsed/>
    <w:rsid w:val="00886AFA"/>
    <w:rPr>
      <w:color w:val="0563C1" w:themeColor="hyperlink"/>
      <w:u w:val="single"/>
    </w:rPr>
  </w:style>
  <w:style w:type="paragraph" w:styleId="Sinespaciado">
    <w:name w:val="No Spacing"/>
    <w:uiPriority w:val="1"/>
    <w:qFormat/>
    <w:rsid w:val="000A638D"/>
    <w:pPr>
      <w:spacing w:after="0" w:line="240" w:lineRule="auto"/>
      <w:jc w:val="both"/>
    </w:pPr>
    <w:rPr>
      <w:rFonts w:ascii="Times New Roman" w:hAnsi="Times New Roman"/>
      <w:sz w:val="24"/>
    </w:rPr>
  </w:style>
  <w:style w:type="paragraph" w:styleId="Textonotapie">
    <w:name w:val="footnote text"/>
    <w:basedOn w:val="Normal"/>
    <w:link w:val="TextonotapieCar"/>
    <w:uiPriority w:val="99"/>
    <w:semiHidden/>
    <w:unhideWhenUsed/>
    <w:rsid w:val="0021522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5221"/>
    <w:rPr>
      <w:rFonts w:ascii="Times New Roman" w:hAnsi="Times New Roman"/>
      <w:sz w:val="20"/>
      <w:szCs w:val="20"/>
    </w:rPr>
  </w:style>
  <w:style w:type="character" w:styleId="Refdenotaalpie">
    <w:name w:val="footnote reference"/>
    <w:basedOn w:val="Fuentedeprrafopredeter"/>
    <w:uiPriority w:val="99"/>
    <w:semiHidden/>
    <w:unhideWhenUsed/>
    <w:rsid w:val="00215221"/>
    <w:rPr>
      <w:vertAlign w:val="superscript"/>
    </w:rPr>
  </w:style>
  <w:style w:type="character" w:styleId="Mencinsinresolver">
    <w:name w:val="Unresolved Mention"/>
    <w:basedOn w:val="Fuentedeprrafopredeter"/>
    <w:uiPriority w:val="99"/>
    <w:semiHidden/>
    <w:unhideWhenUsed/>
    <w:rsid w:val="00EF4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juntaelectoralcentral.es/cs/jec/admelectoral/jezona/directorio?comunidad=Catalu%C3%B1a&amp;sIdCCAA=67&amp;template=Jez/JEC_Provin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0CFC8-40ED-4ADE-90A7-2F0E4B916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918</Words>
  <Characters>5054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López-Liz</dc:creator>
  <cp:keywords/>
  <dc:description/>
  <cp:lastModifiedBy>JOSÉ DOMINGO</cp:lastModifiedBy>
  <cp:revision>2</cp:revision>
  <cp:lastPrinted>2019-03-08T09:03:00Z</cp:lastPrinted>
  <dcterms:created xsi:type="dcterms:W3CDTF">2019-10-11T07:25:00Z</dcterms:created>
  <dcterms:modified xsi:type="dcterms:W3CDTF">2019-10-11T07:25:00Z</dcterms:modified>
</cp:coreProperties>
</file>